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633E4" w14:textId="77777777" w:rsidR="005122E5" w:rsidRDefault="00F4248E">
      <w:pPr>
        <w:spacing w:line="320" w:lineRule="atLeast"/>
        <w:jc w:val="both"/>
      </w:pPr>
      <w:r>
        <w:rPr>
          <w:rFonts w:ascii="Arial" w:hAnsi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8B8584F" wp14:editId="1320B35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93758" cy="267132"/>
            <wp:effectExtent l="0" t="0" r="6392" b="0"/>
            <wp:wrapTight wrapText="bothSides">
              <wp:wrapPolygon edited="0">
                <wp:start x="0" y="0"/>
                <wp:lineTo x="0" y="20057"/>
                <wp:lineTo x="21382" y="20057"/>
                <wp:lineTo x="21382" y="0"/>
                <wp:lineTo x="0" y="0"/>
              </wp:wrapPolygon>
            </wp:wrapTight>
            <wp:docPr id="408813037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93758" cy="26713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2D1806E" w14:textId="2DEF4E32" w:rsidR="005122E5" w:rsidRDefault="7AAC4C86">
      <w:pPr>
        <w:spacing w:line="320" w:lineRule="atLeast"/>
      </w:pPr>
      <w:r w:rsidRPr="3BCC94CB">
        <w:rPr>
          <w:rFonts w:ascii="Arial" w:hAnsi="Arial"/>
          <w:b/>
          <w:bCs/>
          <w:sz w:val="24"/>
          <w:szCs w:val="24"/>
        </w:rPr>
        <w:t xml:space="preserve">TISKOVÁ ZPRÁVA                                                                             </w:t>
      </w:r>
      <w:r w:rsidR="2AF7EC3E" w:rsidRPr="3BCC94CB">
        <w:rPr>
          <w:rFonts w:ascii="Arial" w:hAnsi="Arial"/>
          <w:b/>
          <w:bCs/>
          <w:sz w:val="24"/>
          <w:szCs w:val="24"/>
        </w:rPr>
        <w:t>15</w:t>
      </w:r>
      <w:r w:rsidRPr="3BCC94CB">
        <w:rPr>
          <w:rFonts w:ascii="Arial" w:hAnsi="Arial"/>
          <w:b/>
          <w:bCs/>
          <w:color w:val="000000" w:themeColor="text1"/>
          <w:sz w:val="24"/>
          <w:szCs w:val="24"/>
        </w:rPr>
        <w:t xml:space="preserve">. </w:t>
      </w:r>
      <w:r w:rsidR="5B38F23D" w:rsidRPr="3BCC94CB">
        <w:rPr>
          <w:rFonts w:ascii="Arial" w:hAnsi="Arial"/>
          <w:b/>
          <w:bCs/>
          <w:color w:val="000000" w:themeColor="text1"/>
          <w:sz w:val="24"/>
          <w:szCs w:val="24"/>
        </w:rPr>
        <w:t>června</w:t>
      </w:r>
      <w:r w:rsidR="0AC75C71" w:rsidRPr="3BCC94CB">
        <w:rPr>
          <w:rFonts w:ascii="Arial" w:hAnsi="Arial"/>
          <w:b/>
          <w:bCs/>
          <w:color w:val="000000" w:themeColor="text1"/>
          <w:sz w:val="24"/>
          <w:szCs w:val="24"/>
        </w:rPr>
        <w:t xml:space="preserve"> </w:t>
      </w:r>
      <w:r w:rsidRPr="3BCC94CB">
        <w:rPr>
          <w:rFonts w:ascii="Arial" w:hAnsi="Arial"/>
          <w:b/>
          <w:bCs/>
          <w:sz w:val="24"/>
          <w:szCs w:val="24"/>
        </w:rPr>
        <w:t>202</w:t>
      </w:r>
      <w:r w:rsidR="6E9B3282" w:rsidRPr="3BCC94CB">
        <w:rPr>
          <w:rFonts w:ascii="Arial" w:hAnsi="Arial"/>
          <w:b/>
          <w:bCs/>
          <w:sz w:val="24"/>
          <w:szCs w:val="24"/>
        </w:rPr>
        <w:t>6</w:t>
      </w:r>
    </w:p>
    <w:p w14:paraId="5A38C431" w14:textId="77777777" w:rsidR="005122E5" w:rsidRDefault="005122E5">
      <w:pPr>
        <w:pStyle w:val="Normlnweb"/>
        <w:pBdr>
          <w:top w:val="single" w:sz="12" w:space="1" w:color="000000"/>
        </w:pBdr>
        <w:spacing w:before="0" w:after="0" w:line="300" w:lineRule="atLeast"/>
        <w:rPr>
          <w:rFonts w:ascii="Arial" w:hAnsi="Arial" w:cs="Arial"/>
          <w:b/>
          <w:bCs/>
          <w:sz w:val="28"/>
          <w:szCs w:val="28"/>
        </w:rPr>
      </w:pPr>
    </w:p>
    <w:p w14:paraId="4A331E5F" w14:textId="0EC3ED4E" w:rsidR="000B33AA" w:rsidRDefault="000B33AA">
      <w:pPr>
        <w:pStyle w:val="Normlnweb"/>
        <w:shd w:val="clear" w:color="auto" w:fill="FFFFFF"/>
        <w:spacing w:line="264" w:lineRule="auto"/>
        <w:jc w:val="both"/>
        <w:rPr>
          <w:rFonts w:ascii="Arial" w:eastAsia="Yu Mincho" w:hAnsi="Arial" w:cs="Arial"/>
          <w:b/>
          <w:bCs/>
          <w:kern w:val="3"/>
          <w:sz w:val="28"/>
          <w:szCs w:val="28"/>
          <w:lang w:eastAsia="en-US"/>
        </w:rPr>
      </w:pPr>
      <w:r>
        <w:rPr>
          <w:rFonts w:ascii="Arial" w:eastAsia="Yu Mincho" w:hAnsi="Arial" w:cs="Arial"/>
          <w:b/>
          <w:bCs/>
          <w:kern w:val="3"/>
          <w:sz w:val="28"/>
          <w:szCs w:val="28"/>
          <w:lang w:eastAsia="en-US"/>
        </w:rPr>
        <w:t xml:space="preserve">Moderní budovy v Praze naráží na </w:t>
      </w:r>
      <w:r w:rsidR="00DC1D50">
        <w:rPr>
          <w:rFonts w:ascii="Arial" w:eastAsia="Yu Mincho" w:hAnsi="Arial" w:cs="Arial"/>
          <w:b/>
          <w:bCs/>
          <w:kern w:val="3"/>
          <w:sz w:val="28"/>
          <w:szCs w:val="28"/>
          <w:lang w:eastAsia="en-US"/>
        </w:rPr>
        <w:t xml:space="preserve">limity elektrických přípojek. </w:t>
      </w:r>
      <w:r w:rsidR="0009183B">
        <w:rPr>
          <w:rFonts w:ascii="Arial" w:eastAsia="Yu Mincho" w:hAnsi="Arial" w:cs="Arial"/>
          <w:b/>
          <w:bCs/>
          <w:kern w:val="3"/>
          <w:sz w:val="28"/>
          <w:szCs w:val="28"/>
          <w:lang w:eastAsia="en-US"/>
        </w:rPr>
        <w:t xml:space="preserve">Jaké </w:t>
      </w:r>
      <w:r w:rsidR="00F7590D">
        <w:rPr>
          <w:rFonts w:ascii="Arial" w:eastAsia="Yu Mincho" w:hAnsi="Arial" w:cs="Arial"/>
          <w:b/>
          <w:bCs/>
          <w:kern w:val="3"/>
          <w:sz w:val="28"/>
          <w:szCs w:val="28"/>
          <w:lang w:eastAsia="en-US"/>
        </w:rPr>
        <w:t>je</w:t>
      </w:r>
      <w:r w:rsidR="0009183B">
        <w:rPr>
          <w:rFonts w:ascii="Arial" w:eastAsia="Yu Mincho" w:hAnsi="Arial" w:cs="Arial"/>
          <w:b/>
          <w:bCs/>
          <w:kern w:val="3"/>
          <w:sz w:val="28"/>
          <w:szCs w:val="28"/>
          <w:lang w:eastAsia="en-US"/>
        </w:rPr>
        <w:t xml:space="preserve"> řešení?</w:t>
      </w:r>
    </w:p>
    <w:p w14:paraId="0632359A" w14:textId="7264C55D" w:rsidR="0009183B" w:rsidRDefault="0009183B" w:rsidP="7F213C8A">
      <w:pPr>
        <w:pStyle w:val="Normlnweb"/>
        <w:shd w:val="clear" w:color="auto" w:fill="FFFFFF" w:themeFill="background1"/>
        <w:spacing w:line="264" w:lineRule="auto"/>
        <w:jc w:val="both"/>
        <w:rPr>
          <w:rFonts w:ascii="Arial" w:eastAsia="Arial" w:hAnsi="Arial"/>
          <w:b/>
          <w:bCs/>
          <w:color w:val="000000"/>
        </w:rPr>
      </w:pPr>
      <w:r w:rsidRPr="7413D7C2">
        <w:rPr>
          <w:rFonts w:ascii="Arial" w:eastAsia="Arial" w:hAnsi="Arial"/>
          <w:b/>
          <w:bCs/>
          <w:color w:val="000000" w:themeColor="text1"/>
        </w:rPr>
        <w:t>Rostoucí technologická náročnost moderních budov v historických částech Prahy naráží na limity stávající energetické infrastruktury</w:t>
      </w:r>
      <w:r w:rsidR="74C9E879" w:rsidRPr="7413D7C2">
        <w:rPr>
          <w:rFonts w:ascii="Arial" w:eastAsia="Arial" w:hAnsi="Arial"/>
          <w:b/>
          <w:bCs/>
          <w:color w:val="000000" w:themeColor="text1"/>
        </w:rPr>
        <w:t>. Ty se</w:t>
      </w:r>
      <w:r w:rsidRPr="7413D7C2">
        <w:rPr>
          <w:rFonts w:ascii="Arial" w:eastAsia="Arial" w:hAnsi="Arial"/>
          <w:b/>
          <w:bCs/>
          <w:color w:val="000000" w:themeColor="text1"/>
        </w:rPr>
        <w:t xml:space="preserve"> stále častěji projevují i v souvislosti s rozvojem elektromobility a nových energeticky náročných technologií. Typickým příkladem jsou Vinohrady, kde omezená kapacita elektrických přípojek omezuje realizaci </w:t>
      </w:r>
      <w:r w:rsidR="35A625CB" w:rsidRPr="7413D7C2">
        <w:rPr>
          <w:rFonts w:ascii="Arial" w:eastAsia="Arial" w:hAnsi="Arial"/>
          <w:b/>
          <w:bCs/>
          <w:color w:val="000000" w:themeColor="text1"/>
        </w:rPr>
        <w:t xml:space="preserve">některých </w:t>
      </w:r>
      <w:r w:rsidRPr="7413D7C2">
        <w:rPr>
          <w:rFonts w:ascii="Arial" w:eastAsia="Arial" w:hAnsi="Arial"/>
          <w:b/>
          <w:bCs/>
          <w:color w:val="000000" w:themeColor="text1"/>
        </w:rPr>
        <w:t xml:space="preserve">nových projektů. Společnost </w:t>
      </w:r>
      <w:proofErr w:type="spellStart"/>
      <w:r w:rsidRPr="7413D7C2">
        <w:rPr>
          <w:rFonts w:ascii="Arial" w:eastAsia="Arial" w:hAnsi="Arial"/>
          <w:b/>
          <w:bCs/>
          <w:color w:val="000000" w:themeColor="text1"/>
        </w:rPr>
        <w:t>Loxone</w:t>
      </w:r>
      <w:proofErr w:type="spellEnd"/>
      <w:r w:rsidRPr="7413D7C2">
        <w:rPr>
          <w:rFonts w:ascii="Arial" w:eastAsia="Arial" w:hAnsi="Arial"/>
          <w:b/>
          <w:bCs/>
          <w:color w:val="000000" w:themeColor="text1"/>
        </w:rPr>
        <w:t xml:space="preserve"> na dvou aktuálních </w:t>
      </w:r>
      <w:r w:rsidR="007E6231">
        <w:rPr>
          <w:rFonts w:ascii="Arial" w:eastAsia="Arial" w:hAnsi="Arial"/>
          <w:b/>
          <w:bCs/>
          <w:color w:val="000000" w:themeColor="text1"/>
        </w:rPr>
        <w:t>příkladech z praxe</w:t>
      </w:r>
      <w:r w:rsidRPr="7413D7C2">
        <w:rPr>
          <w:rFonts w:ascii="Arial" w:eastAsia="Arial" w:hAnsi="Arial"/>
          <w:b/>
          <w:bCs/>
          <w:color w:val="000000" w:themeColor="text1"/>
        </w:rPr>
        <w:t xml:space="preserve"> ukazuje, že řešením nemusí být nutně nákladné posilování distribuční sítě, ale chytré řízení spotřeby přímo v rámci budovy. Jedním z těchto </w:t>
      </w:r>
      <w:r w:rsidR="009D1CB0">
        <w:rPr>
          <w:rFonts w:ascii="Arial" w:eastAsia="Arial" w:hAnsi="Arial"/>
          <w:b/>
          <w:bCs/>
          <w:color w:val="000000" w:themeColor="text1"/>
        </w:rPr>
        <w:t>příkladů</w:t>
      </w:r>
      <w:r w:rsidRPr="7413D7C2">
        <w:rPr>
          <w:rFonts w:ascii="Arial" w:eastAsia="Arial" w:hAnsi="Arial"/>
          <w:b/>
          <w:bCs/>
          <w:color w:val="000000" w:themeColor="text1"/>
        </w:rPr>
        <w:t xml:space="preserve"> je nová pobočka fitness centra </w:t>
      </w:r>
      <w:proofErr w:type="spellStart"/>
      <w:r w:rsidRPr="7413D7C2">
        <w:rPr>
          <w:rFonts w:ascii="Arial" w:eastAsia="Arial" w:hAnsi="Arial"/>
          <w:b/>
          <w:bCs/>
          <w:color w:val="000000" w:themeColor="text1"/>
        </w:rPr>
        <w:t>Next.Move</w:t>
      </w:r>
      <w:proofErr w:type="spellEnd"/>
      <w:r w:rsidRPr="7413D7C2">
        <w:rPr>
          <w:rFonts w:ascii="Arial" w:eastAsia="Arial" w:hAnsi="Arial"/>
          <w:b/>
          <w:bCs/>
          <w:color w:val="000000" w:themeColor="text1"/>
        </w:rPr>
        <w:t>.</w:t>
      </w:r>
    </w:p>
    <w:p w14:paraId="05B1810F" w14:textId="36124C58" w:rsidR="00E52CD5" w:rsidRDefault="00A76E56" w:rsidP="7F213C8A">
      <w:pPr>
        <w:pStyle w:val="Normlnweb"/>
        <w:shd w:val="clear" w:color="auto" w:fill="FFFFFF" w:themeFill="background1"/>
        <w:spacing w:line="264" w:lineRule="auto"/>
        <w:jc w:val="both"/>
        <w:rPr>
          <w:rFonts w:ascii="Calibri" w:eastAsia="Calibri" w:hAnsi="Calibri" w:cs="Arial"/>
          <w:kern w:val="3"/>
          <w:sz w:val="22"/>
          <w:szCs w:val="22"/>
          <w:lang w:eastAsia="en-US"/>
        </w:rPr>
      </w:pPr>
      <w:r>
        <w:rPr>
          <w:rFonts w:ascii="Arial" w:eastAsia="Arial" w:hAnsi="Arial"/>
          <w:color w:val="000000" w:themeColor="text1"/>
        </w:rPr>
        <w:t>Nové f</w:t>
      </w:r>
      <w:r w:rsidR="004713C1" w:rsidRPr="004713C1">
        <w:rPr>
          <w:rFonts w:ascii="Arial" w:eastAsia="Arial" w:hAnsi="Arial"/>
          <w:color w:val="000000" w:themeColor="text1"/>
        </w:rPr>
        <w:t>itness centrum s investicí přibližně 60 milionů korun zahrnuje sauny, klimatizované sály i místnosti s rychlými změnami teploty, například pro lekce hot jógy</w:t>
      </w:r>
      <w:r w:rsidR="4E077F80" w:rsidRPr="004713C1">
        <w:rPr>
          <w:rFonts w:ascii="Arial" w:eastAsia="Arial" w:hAnsi="Arial"/>
          <w:color w:val="000000" w:themeColor="text1"/>
        </w:rPr>
        <w:t>. P</w:t>
      </w:r>
      <w:r w:rsidR="004713C1" w:rsidRPr="004713C1">
        <w:rPr>
          <w:rFonts w:ascii="Arial" w:eastAsia="Arial" w:hAnsi="Arial"/>
          <w:color w:val="000000" w:themeColor="text1"/>
        </w:rPr>
        <w:t xml:space="preserve">řirozeně tak klade vysoké nároky na spotřebu energie i její řízení. </w:t>
      </w:r>
      <w:r w:rsidR="39724E9A" w:rsidRPr="004713C1">
        <w:rPr>
          <w:rFonts w:ascii="Arial" w:eastAsia="Arial" w:hAnsi="Arial"/>
          <w:color w:val="000000" w:themeColor="text1"/>
        </w:rPr>
        <w:t>O</w:t>
      </w:r>
      <w:r w:rsidR="004713C1" w:rsidRPr="004713C1">
        <w:rPr>
          <w:rFonts w:ascii="Arial" w:eastAsia="Arial" w:hAnsi="Arial"/>
          <w:color w:val="000000" w:themeColor="text1"/>
        </w:rPr>
        <w:t>mezená kapacita elektrické přípojky se proto stala</w:t>
      </w:r>
      <w:r w:rsidR="004713C1">
        <w:rPr>
          <w:rFonts w:ascii="Arial" w:eastAsia="Arial" w:hAnsi="Arial"/>
          <w:color w:val="000000" w:themeColor="text1"/>
        </w:rPr>
        <w:t xml:space="preserve"> zásadní technickou výzvou </w:t>
      </w:r>
      <w:r w:rsidR="004713C1" w:rsidRPr="004713C1">
        <w:rPr>
          <w:rFonts w:ascii="Arial" w:eastAsia="Arial" w:hAnsi="Arial"/>
          <w:color w:val="000000" w:themeColor="text1"/>
        </w:rPr>
        <w:t>celého projektu.</w:t>
      </w:r>
      <w:r w:rsidR="00E52CD5" w:rsidRPr="00E52CD5">
        <w:rPr>
          <w:rFonts w:ascii="Calibri" w:eastAsia="Calibri" w:hAnsi="Calibri" w:cs="Arial"/>
          <w:kern w:val="3"/>
          <w:sz w:val="22"/>
          <w:szCs w:val="22"/>
          <w:lang w:eastAsia="en-US"/>
        </w:rPr>
        <w:t xml:space="preserve"> </w:t>
      </w:r>
    </w:p>
    <w:p w14:paraId="5A83AF41" w14:textId="63B65D39" w:rsidR="004B0ED1" w:rsidRPr="006B1167" w:rsidRDefault="008E6178" w:rsidP="59FB1CE8">
      <w:pPr>
        <w:pStyle w:val="Normlnweb"/>
        <w:shd w:val="clear" w:color="auto" w:fill="FFFFFF" w:themeFill="background1"/>
        <w:spacing w:line="264" w:lineRule="auto"/>
        <w:jc w:val="both"/>
        <w:rPr>
          <w:rFonts w:ascii="Arial" w:eastAsia="Arial" w:hAnsi="Arial"/>
          <w:color w:val="000000" w:themeColor="text1"/>
        </w:rPr>
      </w:pPr>
      <w:r w:rsidRPr="3BCC94CB">
        <w:rPr>
          <w:rFonts w:ascii="Arial" w:eastAsia="Arial" w:hAnsi="Arial"/>
          <w:i/>
          <w:iCs/>
          <w:color w:val="000000" w:themeColor="text1"/>
        </w:rPr>
        <w:t xml:space="preserve">„Původní provoz, kde se nacházelo zdravotnické zařízení, měl k dispozici přípojku o kapacitě 250 ampérů, což pro jeho fungování postačovalo. </w:t>
      </w:r>
      <w:r w:rsidR="03AEBEB5" w:rsidRPr="3BCC94CB">
        <w:rPr>
          <w:rFonts w:ascii="Arial" w:eastAsia="Arial" w:hAnsi="Arial"/>
          <w:i/>
          <w:iCs/>
          <w:color w:val="000000" w:themeColor="text1"/>
        </w:rPr>
        <w:t>F</w:t>
      </w:r>
      <w:r w:rsidRPr="3BCC94CB">
        <w:rPr>
          <w:rFonts w:ascii="Arial" w:eastAsia="Arial" w:hAnsi="Arial"/>
          <w:i/>
          <w:iCs/>
          <w:color w:val="000000" w:themeColor="text1"/>
        </w:rPr>
        <w:t>itness centr</w:t>
      </w:r>
      <w:r w:rsidR="08FDF512" w:rsidRPr="3BCC94CB">
        <w:rPr>
          <w:rFonts w:ascii="Arial" w:eastAsia="Arial" w:hAnsi="Arial"/>
          <w:i/>
          <w:iCs/>
          <w:color w:val="000000" w:themeColor="text1"/>
        </w:rPr>
        <w:t>um</w:t>
      </w:r>
      <w:r w:rsidRPr="3BCC94CB">
        <w:rPr>
          <w:rFonts w:ascii="Arial" w:eastAsia="Arial" w:hAnsi="Arial"/>
          <w:i/>
          <w:iCs/>
          <w:color w:val="000000" w:themeColor="text1"/>
        </w:rPr>
        <w:t xml:space="preserve"> má ale výrazně vyšší energetické nároky a standardně by vyžadoval</w:t>
      </w:r>
      <w:r w:rsidR="007E6231">
        <w:rPr>
          <w:rFonts w:ascii="Arial" w:eastAsia="Arial" w:hAnsi="Arial"/>
          <w:i/>
          <w:iCs/>
          <w:color w:val="000000" w:themeColor="text1"/>
        </w:rPr>
        <w:t>o</w:t>
      </w:r>
      <w:r w:rsidRPr="3BCC94CB">
        <w:rPr>
          <w:rFonts w:ascii="Arial" w:eastAsia="Arial" w:hAnsi="Arial"/>
          <w:i/>
          <w:iCs/>
          <w:color w:val="000000" w:themeColor="text1"/>
        </w:rPr>
        <w:t xml:space="preserve"> přibližně 320 ampérů. Navýšení kapacity přitom v tomto případě nebylo možné, především z </w:t>
      </w:r>
      <w:r w:rsidR="4535F54A" w:rsidRPr="3BCC94CB">
        <w:rPr>
          <w:rFonts w:ascii="Arial" w:eastAsia="Arial" w:hAnsi="Arial"/>
          <w:i/>
          <w:iCs/>
          <w:color w:val="000000" w:themeColor="text1"/>
        </w:rPr>
        <w:t>administrativ</w:t>
      </w:r>
      <w:r w:rsidR="007E6231">
        <w:rPr>
          <w:rFonts w:ascii="Arial" w:eastAsia="Arial" w:hAnsi="Arial"/>
          <w:i/>
          <w:iCs/>
          <w:color w:val="000000" w:themeColor="text1"/>
        </w:rPr>
        <w:t>ní</w:t>
      </w:r>
      <w:r w:rsidR="4535F54A" w:rsidRPr="3BCC94CB">
        <w:rPr>
          <w:rFonts w:ascii="Arial" w:eastAsia="Arial" w:hAnsi="Arial"/>
          <w:i/>
          <w:iCs/>
          <w:color w:val="000000" w:themeColor="text1"/>
        </w:rPr>
        <w:t>ch důvodů</w:t>
      </w:r>
      <w:r w:rsidRPr="3BCC94CB">
        <w:rPr>
          <w:rFonts w:ascii="Arial" w:eastAsia="Arial" w:hAnsi="Arial"/>
          <w:i/>
          <w:iCs/>
          <w:color w:val="000000" w:themeColor="text1"/>
        </w:rPr>
        <w:t xml:space="preserve">, protože změnu nepovolil správce budovy ani městská část Praha 2. Bylo proto nutné hledat jiné řešení, s čímž nám pomohla společnost </w:t>
      </w:r>
      <w:proofErr w:type="spellStart"/>
      <w:r w:rsidRPr="3BCC94CB">
        <w:rPr>
          <w:rFonts w:ascii="Arial" w:eastAsia="Arial" w:hAnsi="Arial"/>
          <w:i/>
          <w:iCs/>
          <w:color w:val="000000" w:themeColor="text1"/>
        </w:rPr>
        <w:t>Loxone</w:t>
      </w:r>
      <w:proofErr w:type="spellEnd"/>
      <w:r w:rsidRPr="3BCC94CB">
        <w:rPr>
          <w:rFonts w:ascii="Arial" w:eastAsia="Arial" w:hAnsi="Arial"/>
          <w:i/>
          <w:iCs/>
          <w:color w:val="000000" w:themeColor="text1"/>
        </w:rPr>
        <w:t>,“</w:t>
      </w:r>
      <w:r w:rsidRPr="3BCC94CB">
        <w:rPr>
          <w:rFonts w:ascii="Arial" w:eastAsia="Arial" w:hAnsi="Arial"/>
          <w:color w:val="000000" w:themeColor="text1"/>
        </w:rPr>
        <w:t xml:space="preserve"> objasňuje Petr </w:t>
      </w:r>
      <w:proofErr w:type="spellStart"/>
      <w:r w:rsidRPr="3BCC94CB">
        <w:rPr>
          <w:rFonts w:ascii="Arial" w:eastAsia="Arial" w:hAnsi="Arial"/>
          <w:color w:val="000000" w:themeColor="text1"/>
        </w:rPr>
        <w:t>Staňura</w:t>
      </w:r>
      <w:proofErr w:type="spellEnd"/>
      <w:r w:rsidRPr="3BCC94CB">
        <w:rPr>
          <w:rFonts w:ascii="Arial" w:eastAsia="Arial" w:hAnsi="Arial"/>
          <w:color w:val="000000" w:themeColor="text1"/>
        </w:rPr>
        <w:t xml:space="preserve">, jednatel společnosti </w:t>
      </w:r>
      <w:proofErr w:type="spellStart"/>
      <w:r w:rsidRPr="3BCC94CB">
        <w:rPr>
          <w:rFonts w:ascii="Arial" w:eastAsia="Arial" w:hAnsi="Arial"/>
          <w:color w:val="000000" w:themeColor="text1"/>
        </w:rPr>
        <w:t>InTechPro</w:t>
      </w:r>
      <w:proofErr w:type="spellEnd"/>
      <w:r w:rsidR="06447ABE" w:rsidRPr="3BCC94CB">
        <w:rPr>
          <w:rFonts w:ascii="Arial" w:eastAsia="Arial" w:hAnsi="Arial"/>
          <w:color w:val="000000" w:themeColor="text1"/>
        </w:rPr>
        <w:t>, která se o realizaci postarala ve spolupráci s hlavním dodavatelem</w:t>
      </w:r>
      <w:r w:rsidR="007E6231">
        <w:rPr>
          <w:rFonts w:ascii="Arial" w:eastAsia="Arial" w:hAnsi="Arial"/>
          <w:color w:val="000000" w:themeColor="text1"/>
        </w:rPr>
        <w:t>,</w:t>
      </w:r>
      <w:r w:rsidR="06447ABE" w:rsidRPr="3BCC94CB">
        <w:rPr>
          <w:rFonts w:ascii="Arial" w:eastAsia="Arial" w:hAnsi="Arial"/>
          <w:color w:val="000000" w:themeColor="text1"/>
        </w:rPr>
        <w:t xml:space="preserve"> společností </w:t>
      </w:r>
      <w:proofErr w:type="spellStart"/>
      <w:r w:rsidR="06447ABE" w:rsidRPr="3BCC94CB">
        <w:rPr>
          <w:rFonts w:ascii="Arial" w:eastAsia="Arial" w:hAnsi="Arial"/>
          <w:color w:val="000000" w:themeColor="text1"/>
        </w:rPr>
        <w:t>Sofim</w:t>
      </w:r>
      <w:proofErr w:type="spellEnd"/>
      <w:r w:rsidR="06447ABE" w:rsidRPr="3BCC94CB">
        <w:rPr>
          <w:rFonts w:ascii="Arial" w:eastAsia="Arial" w:hAnsi="Arial"/>
          <w:color w:val="000000" w:themeColor="text1"/>
        </w:rPr>
        <w:t>.</w:t>
      </w:r>
    </w:p>
    <w:p w14:paraId="5935F9E8" w14:textId="4861E909" w:rsidR="004B0ED1" w:rsidRPr="006B1167" w:rsidRDefault="009C0E5E" w:rsidP="59FB1CE8">
      <w:pPr>
        <w:pStyle w:val="Normlnweb"/>
        <w:shd w:val="clear" w:color="auto" w:fill="FFFFFF" w:themeFill="background1"/>
        <w:spacing w:line="264" w:lineRule="auto"/>
        <w:jc w:val="both"/>
        <w:rPr>
          <w:rFonts w:ascii="Arial" w:eastAsia="Arial" w:hAnsi="Arial"/>
          <w:b/>
          <w:bCs/>
          <w:color w:val="000000"/>
        </w:rPr>
      </w:pPr>
      <w:r w:rsidRPr="59FB1CE8">
        <w:rPr>
          <w:rFonts w:ascii="Arial" w:eastAsia="Arial" w:hAnsi="Arial"/>
          <w:b/>
          <w:bCs/>
          <w:color w:val="000000" w:themeColor="text1"/>
        </w:rPr>
        <w:t>Problém vyřešil</w:t>
      </w:r>
      <w:r w:rsidR="006B1167" w:rsidRPr="59FB1CE8">
        <w:rPr>
          <w:rFonts w:ascii="Arial" w:eastAsia="Arial" w:hAnsi="Arial"/>
          <w:b/>
          <w:bCs/>
          <w:color w:val="000000" w:themeColor="text1"/>
        </w:rPr>
        <w:t xml:space="preserve"> c</w:t>
      </w:r>
      <w:r w:rsidRPr="59FB1CE8">
        <w:rPr>
          <w:rFonts w:ascii="Arial" w:eastAsia="Arial" w:hAnsi="Arial"/>
          <w:b/>
          <w:bCs/>
          <w:color w:val="000000" w:themeColor="text1"/>
        </w:rPr>
        <w:t xml:space="preserve">hytrý </w:t>
      </w:r>
      <w:r w:rsidR="006B1167" w:rsidRPr="59FB1CE8">
        <w:rPr>
          <w:rFonts w:ascii="Arial" w:eastAsia="Arial" w:hAnsi="Arial"/>
          <w:b/>
          <w:bCs/>
          <w:color w:val="000000" w:themeColor="text1"/>
        </w:rPr>
        <w:t>energetický management</w:t>
      </w:r>
    </w:p>
    <w:p w14:paraId="07D7EB7D" w14:textId="4BE1FD61" w:rsidR="0062661C" w:rsidRPr="0062661C" w:rsidRDefault="0062661C" w:rsidP="59FB1CE8">
      <w:pPr>
        <w:pStyle w:val="Normlnweb"/>
        <w:shd w:val="clear" w:color="auto" w:fill="FFFFFF" w:themeFill="background1"/>
        <w:spacing w:line="264" w:lineRule="auto"/>
        <w:jc w:val="both"/>
        <w:rPr>
          <w:rFonts w:ascii="Arial" w:eastAsia="Arial" w:hAnsi="Arial"/>
          <w:color w:val="000000"/>
        </w:rPr>
      </w:pPr>
      <w:r w:rsidRPr="3BCC94CB">
        <w:rPr>
          <w:rFonts w:ascii="Arial" w:eastAsia="Arial" w:hAnsi="Arial"/>
          <w:color w:val="000000" w:themeColor="text1"/>
        </w:rPr>
        <w:t xml:space="preserve">Klíčovým prvkem řešení se stal chytrý energetický management </w:t>
      </w:r>
      <w:proofErr w:type="spellStart"/>
      <w:r w:rsidRPr="3BCC94CB">
        <w:rPr>
          <w:rFonts w:ascii="Arial" w:eastAsia="Arial" w:hAnsi="Arial"/>
          <w:color w:val="000000" w:themeColor="text1"/>
        </w:rPr>
        <w:t>Loxone</w:t>
      </w:r>
      <w:proofErr w:type="spellEnd"/>
      <w:r w:rsidRPr="3BCC94CB">
        <w:rPr>
          <w:rFonts w:ascii="Arial" w:eastAsia="Arial" w:hAnsi="Arial"/>
          <w:color w:val="000000" w:themeColor="text1"/>
        </w:rPr>
        <w:t>, který v reálném čase sleduje celkovou spotřebu objektu</w:t>
      </w:r>
      <w:r w:rsidR="007E6231">
        <w:rPr>
          <w:rFonts w:ascii="Arial" w:eastAsia="Arial" w:hAnsi="Arial"/>
          <w:color w:val="000000" w:themeColor="text1"/>
        </w:rPr>
        <w:t xml:space="preserve"> i</w:t>
      </w:r>
      <w:r w:rsidR="26096772" w:rsidRPr="3BCC94CB">
        <w:rPr>
          <w:rFonts w:ascii="Arial" w:eastAsia="Arial" w:hAnsi="Arial"/>
          <w:color w:val="000000" w:themeColor="text1"/>
        </w:rPr>
        <w:t xml:space="preserve"> dílčích technologických celků</w:t>
      </w:r>
      <w:r w:rsidRPr="3BCC94CB">
        <w:rPr>
          <w:rFonts w:ascii="Arial" w:eastAsia="Arial" w:hAnsi="Arial"/>
          <w:color w:val="000000" w:themeColor="text1"/>
        </w:rPr>
        <w:t xml:space="preserve"> a aktivně řídí </w:t>
      </w:r>
      <w:r w:rsidR="00667E26">
        <w:rPr>
          <w:rFonts w:ascii="Arial" w:eastAsia="Arial" w:hAnsi="Arial"/>
          <w:color w:val="000000" w:themeColor="text1"/>
        </w:rPr>
        <w:t xml:space="preserve">jejich energetické zatížení </w:t>
      </w:r>
      <w:r w:rsidRPr="3BCC94CB">
        <w:rPr>
          <w:rFonts w:ascii="Arial" w:eastAsia="Arial" w:hAnsi="Arial"/>
          <w:color w:val="000000" w:themeColor="text1"/>
        </w:rPr>
        <w:t xml:space="preserve">podle </w:t>
      </w:r>
      <w:r w:rsidR="00667E26">
        <w:rPr>
          <w:rFonts w:ascii="Arial" w:eastAsia="Arial" w:hAnsi="Arial"/>
          <w:color w:val="000000" w:themeColor="text1"/>
        </w:rPr>
        <w:t>aktuálních podmínek</w:t>
      </w:r>
      <w:r w:rsidRPr="3BCC94CB">
        <w:rPr>
          <w:rFonts w:ascii="Arial" w:eastAsia="Arial" w:hAnsi="Arial"/>
          <w:color w:val="000000" w:themeColor="text1"/>
        </w:rPr>
        <w:t>. Systém vyhodnocuje, kolik energie je v daný okamžik k dispozici, a podle toho automaticky upravuje provoz vybraných zařízení tak, aby nedocházelo k překročení limitu elektrické přípojky.</w:t>
      </w:r>
    </w:p>
    <w:p w14:paraId="0171C9EB" w14:textId="77777777" w:rsidR="0062661C" w:rsidRPr="0062661C" w:rsidRDefault="0062661C" w:rsidP="0062661C">
      <w:pPr>
        <w:pStyle w:val="Normlnweb"/>
        <w:shd w:val="clear" w:color="auto" w:fill="FFFFFF"/>
        <w:spacing w:line="264" w:lineRule="auto"/>
        <w:jc w:val="both"/>
        <w:rPr>
          <w:rFonts w:ascii="Arial" w:eastAsia="Arial" w:hAnsi="Arial"/>
          <w:color w:val="000000"/>
        </w:rPr>
      </w:pPr>
      <w:r w:rsidRPr="0062661C">
        <w:rPr>
          <w:rFonts w:ascii="Arial" w:eastAsia="Arial" w:hAnsi="Arial"/>
          <w:i/>
          <w:iCs/>
          <w:color w:val="000000"/>
        </w:rPr>
        <w:t>„V praxi to znamená například řízení méně prioritních spotřebičů v době špičky. Typickým příkladem jsou fény v šatnách, které mají vysoký okamžitý odběr. Pokud se celková spotřeba blíží maximální kapacitě přípojky, systém dokáže jejich provoz dočasně omezit nebo je postupně spínat tak, aby nedošlo k přetížení sítě,“</w:t>
      </w:r>
      <w:r w:rsidRPr="0062661C">
        <w:rPr>
          <w:rFonts w:ascii="Arial" w:eastAsia="Arial" w:hAnsi="Arial"/>
          <w:color w:val="000000"/>
        </w:rPr>
        <w:t xml:space="preserve"> doplňuje Petr </w:t>
      </w:r>
      <w:proofErr w:type="spellStart"/>
      <w:r w:rsidRPr="0062661C">
        <w:rPr>
          <w:rFonts w:ascii="Arial" w:eastAsia="Arial" w:hAnsi="Arial"/>
          <w:color w:val="000000"/>
        </w:rPr>
        <w:t>Staňura</w:t>
      </w:r>
      <w:proofErr w:type="spellEnd"/>
      <w:r w:rsidRPr="0062661C">
        <w:rPr>
          <w:rFonts w:ascii="Arial" w:eastAsia="Arial" w:hAnsi="Arial"/>
          <w:color w:val="000000"/>
        </w:rPr>
        <w:t>.</w:t>
      </w:r>
    </w:p>
    <w:p w14:paraId="23924416" w14:textId="5671E2E0" w:rsidR="00240453" w:rsidRDefault="0062661C" w:rsidP="224343E9">
      <w:pPr>
        <w:pStyle w:val="Normlnweb"/>
        <w:shd w:val="clear" w:color="auto" w:fill="FFFFFF" w:themeFill="background1"/>
        <w:spacing w:line="264" w:lineRule="auto"/>
        <w:jc w:val="both"/>
        <w:rPr>
          <w:rFonts w:ascii="Arial" w:eastAsia="Arial" w:hAnsi="Arial"/>
          <w:color w:val="000000"/>
        </w:rPr>
      </w:pPr>
      <w:r w:rsidRPr="224343E9">
        <w:rPr>
          <w:rFonts w:ascii="Arial" w:eastAsia="Arial" w:hAnsi="Arial"/>
          <w:color w:val="000000" w:themeColor="text1"/>
        </w:rPr>
        <w:t xml:space="preserve">Dalším příkladem je ohřev vody, který není vázán na okamžitou provozní špičku. Systém jej automaticky plánuje do období nižší zátěže, například před otevřením </w:t>
      </w:r>
      <w:r w:rsidRPr="224343E9">
        <w:rPr>
          <w:rFonts w:ascii="Arial" w:eastAsia="Arial" w:hAnsi="Arial"/>
          <w:color w:val="000000" w:themeColor="text1"/>
        </w:rPr>
        <w:lastRenderedPageBreak/>
        <w:t>fitness centra nebo během méně vytížených hodin. Tím se energie využívá efektivněji a bez nutnosti navyšování kapacity přípojky.</w:t>
      </w:r>
    </w:p>
    <w:p w14:paraId="2D978475" w14:textId="7E2A97BF" w:rsidR="0078552E" w:rsidRDefault="596FDE74" w:rsidP="182CC910">
      <w:pPr>
        <w:pStyle w:val="Normlnweb"/>
        <w:shd w:val="clear" w:color="auto" w:fill="FFFFFF" w:themeFill="background1"/>
        <w:spacing w:line="264" w:lineRule="auto"/>
        <w:jc w:val="both"/>
        <w:rPr>
          <w:rFonts w:ascii="Arial" w:eastAsia="Arial" w:hAnsi="Arial"/>
          <w:color w:val="000000"/>
        </w:rPr>
      </w:pPr>
      <w:r w:rsidRPr="44F8B5C9">
        <w:rPr>
          <w:rFonts w:ascii="Arial" w:eastAsia="Arial" w:hAnsi="Arial"/>
          <w:color w:val="000000" w:themeColor="text1"/>
        </w:rPr>
        <w:t xml:space="preserve">Stejný </w:t>
      </w:r>
      <w:r w:rsidR="0078552E" w:rsidRPr="44F8B5C9">
        <w:rPr>
          <w:rFonts w:ascii="Arial" w:eastAsia="Arial" w:hAnsi="Arial"/>
          <w:color w:val="000000" w:themeColor="text1"/>
        </w:rPr>
        <w:t xml:space="preserve">problém řešila společnost </w:t>
      </w:r>
      <w:proofErr w:type="spellStart"/>
      <w:r w:rsidR="0078552E" w:rsidRPr="44F8B5C9">
        <w:rPr>
          <w:rFonts w:ascii="Arial" w:eastAsia="Arial" w:hAnsi="Arial"/>
          <w:color w:val="000000" w:themeColor="text1"/>
        </w:rPr>
        <w:t>Loxone</w:t>
      </w:r>
      <w:proofErr w:type="spellEnd"/>
      <w:r w:rsidR="0078552E" w:rsidRPr="44F8B5C9">
        <w:rPr>
          <w:rFonts w:ascii="Arial" w:eastAsia="Arial" w:hAnsi="Arial"/>
          <w:color w:val="000000" w:themeColor="text1"/>
        </w:rPr>
        <w:t xml:space="preserve"> </w:t>
      </w:r>
      <w:r w:rsidR="048AAABA" w:rsidRPr="44F8B5C9">
        <w:rPr>
          <w:rFonts w:ascii="Arial" w:eastAsia="Arial" w:hAnsi="Arial"/>
          <w:color w:val="000000" w:themeColor="text1"/>
        </w:rPr>
        <w:t xml:space="preserve">také </w:t>
      </w:r>
      <w:r w:rsidR="0078552E" w:rsidRPr="44F8B5C9">
        <w:rPr>
          <w:rFonts w:ascii="Arial" w:eastAsia="Arial" w:hAnsi="Arial"/>
          <w:color w:val="000000" w:themeColor="text1"/>
        </w:rPr>
        <w:t>ve svém novém automatizovaném showroomu ve stejné lokalitě.</w:t>
      </w:r>
      <w:r w:rsidR="58A4FB49" w:rsidRPr="44F8B5C9">
        <w:rPr>
          <w:rFonts w:ascii="Arial" w:eastAsia="Arial" w:hAnsi="Arial"/>
          <w:color w:val="000000" w:themeColor="text1"/>
        </w:rPr>
        <w:t xml:space="preserve"> </w:t>
      </w:r>
      <w:r w:rsidR="0078552E" w:rsidRPr="44F8B5C9">
        <w:rPr>
          <w:rFonts w:ascii="Arial" w:eastAsia="Arial" w:hAnsi="Arial"/>
          <w:i/>
          <w:iCs/>
          <w:color w:val="000000" w:themeColor="text1"/>
        </w:rPr>
        <w:t xml:space="preserve">„Díky chytrému energetickému managementu dokážeme bez problémů řídit celý provoz showroomu, a to včetně energeticky náročných technologií a dvou výkonných 22kW nabíječek pro elektromobily, které jsou v této lokalitě poměrně raritou,“ </w:t>
      </w:r>
      <w:r w:rsidR="0078552E" w:rsidRPr="44F8B5C9">
        <w:rPr>
          <w:rFonts w:ascii="Arial" w:eastAsia="Arial" w:hAnsi="Arial"/>
          <w:color w:val="000000" w:themeColor="text1"/>
        </w:rPr>
        <w:t xml:space="preserve">uvádí Pavel Lískovec, ředitel společnosti </w:t>
      </w:r>
      <w:proofErr w:type="spellStart"/>
      <w:r w:rsidR="0078552E" w:rsidRPr="44F8B5C9">
        <w:rPr>
          <w:rFonts w:ascii="Arial" w:eastAsia="Arial" w:hAnsi="Arial"/>
          <w:color w:val="000000" w:themeColor="text1"/>
        </w:rPr>
        <w:t>Loxone</w:t>
      </w:r>
      <w:proofErr w:type="spellEnd"/>
      <w:r w:rsidR="0078552E" w:rsidRPr="44F8B5C9">
        <w:rPr>
          <w:rFonts w:ascii="Arial" w:eastAsia="Arial" w:hAnsi="Arial"/>
          <w:color w:val="000000" w:themeColor="text1"/>
        </w:rPr>
        <w:t xml:space="preserve"> pro </w:t>
      </w:r>
      <w:r w:rsidR="1F1B33CC" w:rsidRPr="44F8B5C9">
        <w:rPr>
          <w:rFonts w:ascii="Arial" w:eastAsia="Arial" w:hAnsi="Arial"/>
          <w:color w:val="000000" w:themeColor="text1"/>
        </w:rPr>
        <w:t xml:space="preserve">Česko a další země </w:t>
      </w:r>
      <w:r w:rsidR="0078552E" w:rsidRPr="44F8B5C9">
        <w:rPr>
          <w:rFonts w:ascii="Arial" w:eastAsia="Arial" w:hAnsi="Arial"/>
          <w:color w:val="000000" w:themeColor="text1"/>
        </w:rPr>
        <w:t>východní Evrop</w:t>
      </w:r>
      <w:r w:rsidR="4225A8F0" w:rsidRPr="44F8B5C9">
        <w:rPr>
          <w:rFonts w:ascii="Arial" w:eastAsia="Arial" w:hAnsi="Arial"/>
          <w:color w:val="000000" w:themeColor="text1"/>
        </w:rPr>
        <w:t>y</w:t>
      </w:r>
      <w:r w:rsidR="0078552E" w:rsidRPr="44F8B5C9">
        <w:rPr>
          <w:rFonts w:ascii="Arial" w:eastAsia="Arial" w:hAnsi="Arial"/>
          <w:color w:val="000000" w:themeColor="text1"/>
        </w:rPr>
        <w:t>.</w:t>
      </w:r>
    </w:p>
    <w:p w14:paraId="50FA6D3B" w14:textId="4CFB32A4" w:rsidR="0FC9F6B3" w:rsidRDefault="0FC9F6B3" w:rsidP="23D9C14F">
      <w:pPr>
        <w:pStyle w:val="Normlnweb"/>
        <w:shd w:val="clear" w:color="auto" w:fill="FFFFFF" w:themeFill="background1"/>
        <w:spacing w:line="264" w:lineRule="auto"/>
        <w:jc w:val="both"/>
        <w:rPr>
          <w:rFonts w:ascii="Arial" w:eastAsia="Arial" w:hAnsi="Arial"/>
          <w:b/>
          <w:bCs/>
          <w:color w:val="000000" w:themeColor="text1"/>
        </w:rPr>
      </w:pPr>
      <w:r w:rsidRPr="182CC910">
        <w:rPr>
          <w:rFonts w:ascii="Arial" w:eastAsia="Arial" w:hAnsi="Arial"/>
          <w:b/>
          <w:bCs/>
          <w:color w:val="000000" w:themeColor="text1"/>
        </w:rPr>
        <w:t>Chytré řízení energie, provozu a zajištění bezpečnosti v jedné platformě</w:t>
      </w:r>
    </w:p>
    <w:p w14:paraId="32D7AA76" w14:textId="679B396D" w:rsidR="00003858" w:rsidRPr="00003858" w:rsidRDefault="00003858" w:rsidP="224343E9">
      <w:pPr>
        <w:pStyle w:val="Normlnweb"/>
        <w:shd w:val="clear" w:color="auto" w:fill="FFFFFF" w:themeFill="background1"/>
        <w:spacing w:line="264" w:lineRule="auto"/>
        <w:jc w:val="both"/>
        <w:rPr>
          <w:rFonts w:ascii="Arial" w:eastAsia="Arial" w:hAnsi="Arial"/>
          <w:color w:val="000000"/>
        </w:rPr>
      </w:pPr>
      <w:r w:rsidRPr="224343E9">
        <w:rPr>
          <w:rFonts w:ascii="Arial" w:eastAsia="Arial" w:hAnsi="Arial"/>
          <w:color w:val="000000" w:themeColor="text1"/>
        </w:rPr>
        <w:t xml:space="preserve">Automatizace </w:t>
      </w:r>
      <w:proofErr w:type="spellStart"/>
      <w:r w:rsidRPr="224343E9">
        <w:rPr>
          <w:rFonts w:ascii="Arial" w:eastAsia="Arial" w:hAnsi="Arial"/>
          <w:color w:val="000000" w:themeColor="text1"/>
        </w:rPr>
        <w:t>Loxone</w:t>
      </w:r>
      <w:proofErr w:type="spellEnd"/>
      <w:r w:rsidRPr="224343E9">
        <w:rPr>
          <w:rFonts w:ascii="Arial" w:eastAsia="Arial" w:hAnsi="Arial"/>
          <w:color w:val="000000" w:themeColor="text1"/>
        </w:rPr>
        <w:t xml:space="preserve"> v rámci nové pobočky </w:t>
      </w:r>
      <w:proofErr w:type="spellStart"/>
      <w:r w:rsidRPr="224343E9">
        <w:rPr>
          <w:rFonts w:ascii="Arial" w:eastAsia="Arial" w:hAnsi="Arial"/>
          <w:color w:val="000000" w:themeColor="text1"/>
        </w:rPr>
        <w:t>Next.Move</w:t>
      </w:r>
      <w:proofErr w:type="spellEnd"/>
      <w:r w:rsidRPr="224343E9">
        <w:rPr>
          <w:rFonts w:ascii="Arial" w:eastAsia="Arial" w:hAnsi="Arial"/>
          <w:color w:val="000000" w:themeColor="text1"/>
        </w:rPr>
        <w:t xml:space="preserve"> neřídí pouze spotřebu energie, ale také bezpečnost a provozní komfort. Zajišťuje například dohled nad saunami, kde mohou návštěvníci v případě potřeby využít bezpečnostní tlačítko pro přivolání pomoci. Zároveň se stará o provozní rutiny saun, včetně automatického předtápění před otevřením a následného udržování nastavené teploty bez nutnosti zásahu obsluhy. </w:t>
      </w:r>
      <w:r w:rsidR="12A51E28" w:rsidRPr="224343E9">
        <w:rPr>
          <w:rFonts w:ascii="Arial" w:eastAsia="Arial" w:hAnsi="Arial"/>
          <w:color w:val="000000" w:themeColor="text1"/>
        </w:rPr>
        <w:t>Systém d</w:t>
      </w:r>
      <w:r w:rsidRPr="224343E9">
        <w:rPr>
          <w:rFonts w:ascii="Arial" w:eastAsia="Arial" w:hAnsi="Arial"/>
          <w:color w:val="000000" w:themeColor="text1"/>
        </w:rPr>
        <w:t>ále optimalizuje práci s teplotou v jednotlivých cvičebních místnostech, kdy dokáže prostor pro hot jógu rychle předehřát a po lekci jej naopak efektivně vyvětrat a připravit pro další využití.</w:t>
      </w:r>
    </w:p>
    <w:p w14:paraId="7D0E0EB7" w14:textId="572DDDC0" w:rsidR="00003858" w:rsidRDefault="00003858" w:rsidP="59FB1CE8">
      <w:pPr>
        <w:pStyle w:val="Normlnweb"/>
        <w:shd w:val="clear" w:color="auto" w:fill="FFFFFF" w:themeFill="background1"/>
        <w:spacing w:line="264" w:lineRule="auto"/>
        <w:jc w:val="both"/>
        <w:rPr>
          <w:rFonts w:ascii="Arial" w:eastAsia="Arial" w:hAnsi="Arial"/>
          <w:color w:val="000000" w:themeColor="text1"/>
        </w:rPr>
      </w:pPr>
      <w:r w:rsidRPr="3BCC94CB">
        <w:rPr>
          <w:rFonts w:ascii="Arial" w:eastAsia="Arial" w:hAnsi="Arial"/>
          <w:color w:val="000000" w:themeColor="text1"/>
        </w:rPr>
        <w:t>Veškeré tyto funkce jsou řízeny centrálně prostřednictvím jedné aplikace, která poskytuje personálu přehled o provozu i možnost vzdáleného ovládání jednotlivých technologií. Díky tomu lze celý systém spravovat z jednoho místa, což je výhodné zejména při střídání směn, kdy obsluha pracuje se stejným rozhraním napříč pobočkami a nemusí se přizpůsobovat odlišným způsobům řízení. Automatizace navíc zajišťuje i provozní rutiny, například</w:t>
      </w:r>
      <w:r w:rsidR="584E12FE" w:rsidRPr="3BCC94CB">
        <w:rPr>
          <w:rFonts w:ascii="Arial" w:eastAsia="Arial" w:hAnsi="Arial"/>
          <w:color w:val="000000" w:themeColor="text1"/>
        </w:rPr>
        <w:t xml:space="preserve"> v případě bazénků s ledovou vodou, kde systém hlídá provozní stavy, teplotu, spotřebu vody a stav chemikálií. </w:t>
      </w:r>
    </w:p>
    <w:p w14:paraId="17007521" w14:textId="77777777" w:rsidR="005122E5" w:rsidRDefault="005122E5">
      <w:pPr>
        <w:pBdr>
          <w:bottom w:val="single" w:sz="6" w:space="1" w:color="000000"/>
        </w:pBdr>
        <w:spacing w:line="264" w:lineRule="auto"/>
        <w:jc w:val="both"/>
        <w:rPr>
          <w:sz w:val="20"/>
          <w:szCs w:val="20"/>
        </w:rPr>
      </w:pPr>
    </w:p>
    <w:p w14:paraId="3E21FC36" w14:textId="77777777" w:rsidR="00932E12" w:rsidRDefault="00932E12">
      <w:pPr>
        <w:pStyle w:val="Normlnweb"/>
        <w:keepNext/>
        <w:spacing w:before="0" w:after="0" w:line="264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79A42F1" w14:textId="4900C8BE" w:rsidR="005122E5" w:rsidRDefault="00F4248E">
      <w:pPr>
        <w:pStyle w:val="Normlnweb"/>
        <w:keepNext/>
        <w:spacing w:before="0" w:after="0" w:line="264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společnosti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Loxone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465F97E1" w14:textId="225563D9" w:rsidR="00932E12" w:rsidRPr="00BD1E3F" w:rsidRDefault="00F4248E">
      <w:pPr>
        <w:spacing w:line="264" w:lineRule="auto"/>
        <w:jc w:val="both"/>
        <w:rPr>
          <w:sz w:val="24"/>
          <w:szCs w:val="24"/>
        </w:rPr>
      </w:pPr>
      <w:r w:rsidRPr="7F213C8A">
        <w:rPr>
          <w:sz w:val="24"/>
          <w:szCs w:val="24"/>
        </w:rPr>
        <w:t>Společnost </w:t>
      </w:r>
      <w:hyperlink r:id="rId11">
        <w:r w:rsidR="005122E5" w:rsidRPr="7F213C8A">
          <w:rPr>
            <w:rStyle w:val="Hypertextovodkaz"/>
            <w:sz w:val="24"/>
            <w:szCs w:val="24"/>
          </w:rPr>
          <w:t>Loxone</w:t>
        </w:r>
      </w:hyperlink>
      <w:r w:rsidRPr="7F213C8A">
        <w:rPr>
          <w:sz w:val="24"/>
          <w:szCs w:val="24"/>
        </w:rPr>
        <w:t xml:space="preserve"> patří mezi přední hráče na českém i světovém trhu v oblasti inteligentní elektroinstalace a automatizace. Vznikla v roce 2009, kdy vstoupila na trh s vlastním </w:t>
      </w:r>
      <w:proofErr w:type="spellStart"/>
      <w:r w:rsidRPr="7F213C8A">
        <w:rPr>
          <w:sz w:val="24"/>
          <w:szCs w:val="24"/>
        </w:rPr>
        <w:t>Miniserverem</w:t>
      </w:r>
      <w:proofErr w:type="spellEnd"/>
      <w:r w:rsidRPr="7F213C8A">
        <w:rPr>
          <w:sz w:val="24"/>
          <w:szCs w:val="24"/>
        </w:rPr>
        <w:t xml:space="preserve">, který způsobil revoluci v odvětví inteligentních domácností. Dnes </w:t>
      </w:r>
      <w:proofErr w:type="spellStart"/>
      <w:r w:rsidRPr="7F213C8A">
        <w:rPr>
          <w:sz w:val="24"/>
          <w:szCs w:val="24"/>
        </w:rPr>
        <w:t>Loxone</w:t>
      </w:r>
      <w:proofErr w:type="spellEnd"/>
      <w:r w:rsidRPr="7F213C8A">
        <w:rPr>
          <w:sz w:val="24"/>
          <w:szCs w:val="24"/>
        </w:rPr>
        <w:t xml:space="preserve"> přináší chytrá řešení nejen pro domácnosti, ale také pro komerční budovy jako jsou kanceláře, hotely, restaurace či sklady. Za dobu svého působení realizovala přes 3</w:t>
      </w:r>
      <w:r w:rsidR="00E21FF1">
        <w:rPr>
          <w:sz w:val="24"/>
          <w:szCs w:val="24"/>
        </w:rPr>
        <w:t>5</w:t>
      </w:r>
      <w:r w:rsidRPr="7F213C8A">
        <w:rPr>
          <w:sz w:val="24"/>
          <w:szCs w:val="24"/>
        </w:rPr>
        <w:t xml:space="preserve">0 000 projektů ve více než 100 zemích a v současnosti zaměstnává více než </w:t>
      </w:r>
      <w:r w:rsidR="00E21FF1">
        <w:rPr>
          <w:sz w:val="24"/>
          <w:szCs w:val="24"/>
        </w:rPr>
        <w:t>1300</w:t>
      </w:r>
      <w:r w:rsidRPr="7F213C8A">
        <w:rPr>
          <w:sz w:val="24"/>
          <w:szCs w:val="24"/>
        </w:rPr>
        <w:t xml:space="preserve"> lidí po celém světě. Posláním společnosti </w:t>
      </w:r>
      <w:proofErr w:type="spellStart"/>
      <w:r w:rsidRPr="7F213C8A">
        <w:rPr>
          <w:sz w:val="24"/>
          <w:szCs w:val="24"/>
        </w:rPr>
        <w:t>Loxone</w:t>
      </w:r>
      <w:proofErr w:type="spellEnd"/>
      <w:r w:rsidRPr="7F213C8A">
        <w:rPr>
          <w:sz w:val="24"/>
          <w:szCs w:val="24"/>
        </w:rPr>
        <w:t xml:space="preserve"> je revolučně měnit způsob, jakým lidé žijí, pracují a tráví čas v budovách s pomocí sofistikovaného a plně integrovaného řešení. To totiž majitelům a správcům budov přináší nejen komfort a bezpečí, ale také velký benefit v podobě energetických úspor. Pro více informací navštivte </w:t>
      </w:r>
      <w:hyperlink r:id="rId12">
        <w:r w:rsidR="005122E5" w:rsidRPr="7F213C8A">
          <w:rPr>
            <w:rStyle w:val="Hypertextovodkaz"/>
            <w:sz w:val="24"/>
            <w:szCs w:val="24"/>
          </w:rPr>
          <w:t>www.loxone.com</w:t>
        </w:r>
      </w:hyperlink>
      <w:r w:rsidRPr="7F213C8A">
        <w:rPr>
          <w:sz w:val="24"/>
          <w:szCs w:val="24"/>
        </w:rPr>
        <w:t>  </w:t>
      </w:r>
    </w:p>
    <w:p w14:paraId="5290C9C2" w14:textId="77777777" w:rsidR="005122E5" w:rsidRDefault="00F4248E">
      <w:pPr>
        <w:pStyle w:val="Normlnweb"/>
        <w:keepNext/>
        <w:spacing w:before="0" w:after="0" w:line="264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Pro více informací kontaktuje:</w:t>
      </w:r>
    </w:p>
    <w:p w14:paraId="179900FA" w14:textId="77777777" w:rsidR="005122E5" w:rsidRDefault="00F4248E">
      <w:pPr>
        <w:pStyle w:val="Normlnweb"/>
        <w:keepNext/>
        <w:spacing w:before="0" w:after="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Kamila Žitňáková</w:t>
      </w:r>
    </w:p>
    <w:p w14:paraId="63C74711" w14:textId="77777777" w:rsidR="005122E5" w:rsidRDefault="00F4248E">
      <w:pPr>
        <w:pStyle w:val="Normlnweb"/>
        <w:keepNext/>
        <w:spacing w:before="0" w:after="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Crest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Communications a.s.</w:t>
      </w:r>
    </w:p>
    <w:p w14:paraId="6EFE459E" w14:textId="77777777" w:rsidR="005122E5" w:rsidRDefault="005122E5">
      <w:pPr>
        <w:pStyle w:val="Normlnweb"/>
        <w:keepNext/>
        <w:spacing w:before="0" w:after="0" w:line="264" w:lineRule="auto"/>
        <w:jc w:val="both"/>
      </w:pPr>
      <w:hyperlink r:id="rId13" w:history="1">
        <w:r>
          <w:rPr>
            <w:rStyle w:val="Hypertextovodkaz"/>
            <w:rFonts w:ascii="Arial" w:hAnsi="Arial" w:cs="Arial"/>
            <w:sz w:val="22"/>
            <w:szCs w:val="22"/>
          </w:rPr>
          <w:t>kamila.zitnakova@crestcom.cz</w:t>
        </w:r>
      </w:hyperlink>
    </w:p>
    <w:p w14:paraId="2BC1B490" w14:textId="77777777" w:rsidR="005122E5" w:rsidRDefault="00F4248E">
      <w:pPr>
        <w:pStyle w:val="Normlnweb"/>
        <w:keepNext/>
        <w:spacing w:before="0" w:after="0" w:line="264" w:lineRule="auto"/>
        <w:jc w:val="both"/>
      </w:pPr>
      <w:r>
        <w:rPr>
          <w:rFonts w:ascii="Arial" w:hAnsi="Arial" w:cs="Arial"/>
          <w:color w:val="000000"/>
          <w:sz w:val="22"/>
          <w:szCs w:val="22"/>
        </w:rPr>
        <w:t>+420 725 544 106</w:t>
      </w:r>
    </w:p>
    <w:p w14:paraId="4138BD06" w14:textId="77777777" w:rsidR="005122E5" w:rsidRDefault="005122E5">
      <w:pPr>
        <w:spacing w:before="100" w:after="100" w:line="264" w:lineRule="auto"/>
        <w:jc w:val="both"/>
        <w:rPr>
          <w:rFonts w:ascii="Arial" w:hAnsi="Arial"/>
          <w:b/>
          <w:bCs/>
          <w:sz w:val="20"/>
          <w:szCs w:val="20"/>
          <w:u w:val="single"/>
        </w:rPr>
      </w:pPr>
    </w:p>
    <w:sectPr w:rsidR="005122E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AE84C" w14:textId="77777777" w:rsidR="00496C63" w:rsidRDefault="00496C63">
      <w:pPr>
        <w:spacing w:after="0" w:line="240" w:lineRule="auto"/>
      </w:pPr>
      <w:r>
        <w:separator/>
      </w:r>
    </w:p>
  </w:endnote>
  <w:endnote w:type="continuationSeparator" w:id="0">
    <w:p w14:paraId="12DB3861" w14:textId="77777777" w:rsidR="00496C63" w:rsidRDefault="00496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34AEB" w14:textId="77777777" w:rsidR="00496C63" w:rsidRDefault="00496C6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26897D" w14:textId="77777777" w:rsidR="00496C63" w:rsidRDefault="00496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26A4F"/>
    <w:multiLevelType w:val="hybridMultilevel"/>
    <w:tmpl w:val="2C88C174"/>
    <w:lvl w:ilvl="0" w:tplc="8A0A40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80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2E5"/>
    <w:rsid w:val="00003858"/>
    <w:rsid w:val="00010B4A"/>
    <w:rsid w:val="00026FA7"/>
    <w:rsid w:val="00033987"/>
    <w:rsid w:val="00055324"/>
    <w:rsid w:val="0007498F"/>
    <w:rsid w:val="00084406"/>
    <w:rsid w:val="0009183B"/>
    <w:rsid w:val="0009441F"/>
    <w:rsid w:val="00095C71"/>
    <w:rsid w:val="000A1CFF"/>
    <w:rsid w:val="000B33AA"/>
    <w:rsid w:val="000C0D4D"/>
    <w:rsid w:val="000C1E9C"/>
    <w:rsid w:val="000C663D"/>
    <w:rsid w:val="000E63BB"/>
    <w:rsid w:val="000F3799"/>
    <w:rsid w:val="001023A2"/>
    <w:rsid w:val="00117F73"/>
    <w:rsid w:val="001415BF"/>
    <w:rsid w:val="00142FE5"/>
    <w:rsid w:val="00153E1C"/>
    <w:rsid w:val="001620C9"/>
    <w:rsid w:val="00176730"/>
    <w:rsid w:val="00182165"/>
    <w:rsid w:val="00183C5B"/>
    <w:rsid w:val="001931F2"/>
    <w:rsid w:val="00196AF4"/>
    <w:rsid w:val="001C72FB"/>
    <w:rsid w:val="001E4384"/>
    <w:rsid w:val="001F0B10"/>
    <w:rsid w:val="001F1D41"/>
    <w:rsid w:val="001F7B81"/>
    <w:rsid w:val="002049F6"/>
    <w:rsid w:val="002076E2"/>
    <w:rsid w:val="00237A08"/>
    <w:rsid w:val="00240453"/>
    <w:rsid w:val="00253A35"/>
    <w:rsid w:val="00274C48"/>
    <w:rsid w:val="0028179B"/>
    <w:rsid w:val="0029420C"/>
    <w:rsid w:val="0029796C"/>
    <w:rsid w:val="002A565E"/>
    <w:rsid w:val="002C0506"/>
    <w:rsid w:val="002D04E7"/>
    <w:rsid w:val="002D714D"/>
    <w:rsid w:val="002E49B6"/>
    <w:rsid w:val="002E7829"/>
    <w:rsid w:val="002F3D5C"/>
    <w:rsid w:val="00330033"/>
    <w:rsid w:val="0033366D"/>
    <w:rsid w:val="003375B6"/>
    <w:rsid w:val="00343899"/>
    <w:rsid w:val="0034605E"/>
    <w:rsid w:val="00361D28"/>
    <w:rsid w:val="0036294B"/>
    <w:rsid w:val="00376B93"/>
    <w:rsid w:val="00385BA4"/>
    <w:rsid w:val="003A7693"/>
    <w:rsid w:val="003C2516"/>
    <w:rsid w:val="003C2FC0"/>
    <w:rsid w:val="003D56B8"/>
    <w:rsid w:val="003D7100"/>
    <w:rsid w:val="003F1919"/>
    <w:rsid w:val="003F1945"/>
    <w:rsid w:val="004237F4"/>
    <w:rsid w:val="00427F24"/>
    <w:rsid w:val="00445948"/>
    <w:rsid w:val="00446879"/>
    <w:rsid w:val="004713C1"/>
    <w:rsid w:val="004716F2"/>
    <w:rsid w:val="00476A15"/>
    <w:rsid w:val="00496C63"/>
    <w:rsid w:val="004B0ED1"/>
    <w:rsid w:val="004B2202"/>
    <w:rsid w:val="004B6D73"/>
    <w:rsid w:val="004B7A0D"/>
    <w:rsid w:val="004C31AB"/>
    <w:rsid w:val="004C57D2"/>
    <w:rsid w:val="004D5EA1"/>
    <w:rsid w:val="004D6BD8"/>
    <w:rsid w:val="004F54B2"/>
    <w:rsid w:val="005122E5"/>
    <w:rsid w:val="00523629"/>
    <w:rsid w:val="00525650"/>
    <w:rsid w:val="00532508"/>
    <w:rsid w:val="00533B1B"/>
    <w:rsid w:val="005652FD"/>
    <w:rsid w:val="00566D3A"/>
    <w:rsid w:val="00576846"/>
    <w:rsid w:val="00576CC7"/>
    <w:rsid w:val="00591365"/>
    <w:rsid w:val="005934C7"/>
    <w:rsid w:val="005A30D0"/>
    <w:rsid w:val="005C0346"/>
    <w:rsid w:val="005C1A45"/>
    <w:rsid w:val="005C6DA6"/>
    <w:rsid w:val="005D15DA"/>
    <w:rsid w:val="005F37AC"/>
    <w:rsid w:val="005F3820"/>
    <w:rsid w:val="005F7485"/>
    <w:rsid w:val="00616ADD"/>
    <w:rsid w:val="0062661C"/>
    <w:rsid w:val="00637BA4"/>
    <w:rsid w:val="006418B3"/>
    <w:rsid w:val="006534D3"/>
    <w:rsid w:val="00667E26"/>
    <w:rsid w:val="0067588C"/>
    <w:rsid w:val="00683075"/>
    <w:rsid w:val="006B00EB"/>
    <w:rsid w:val="006B1167"/>
    <w:rsid w:val="006B35AB"/>
    <w:rsid w:val="006B61D2"/>
    <w:rsid w:val="006C52C0"/>
    <w:rsid w:val="006E2787"/>
    <w:rsid w:val="006E748D"/>
    <w:rsid w:val="007061D3"/>
    <w:rsid w:val="00721785"/>
    <w:rsid w:val="00737C17"/>
    <w:rsid w:val="00781209"/>
    <w:rsid w:val="007830EC"/>
    <w:rsid w:val="0078552E"/>
    <w:rsid w:val="007A5C86"/>
    <w:rsid w:val="007D240A"/>
    <w:rsid w:val="007D6BCA"/>
    <w:rsid w:val="007E5C92"/>
    <w:rsid w:val="007E6231"/>
    <w:rsid w:val="007F55F5"/>
    <w:rsid w:val="00820712"/>
    <w:rsid w:val="00823E1A"/>
    <w:rsid w:val="008250A3"/>
    <w:rsid w:val="00826D36"/>
    <w:rsid w:val="008624D3"/>
    <w:rsid w:val="00866747"/>
    <w:rsid w:val="00867149"/>
    <w:rsid w:val="00892A66"/>
    <w:rsid w:val="00896604"/>
    <w:rsid w:val="008A316D"/>
    <w:rsid w:val="008D6DEC"/>
    <w:rsid w:val="008E4703"/>
    <w:rsid w:val="008E6178"/>
    <w:rsid w:val="008F1CE6"/>
    <w:rsid w:val="008F7E0B"/>
    <w:rsid w:val="009149C1"/>
    <w:rsid w:val="00926C4A"/>
    <w:rsid w:val="00932E12"/>
    <w:rsid w:val="009679F1"/>
    <w:rsid w:val="00976DDB"/>
    <w:rsid w:val="00976F7E"/>
    <w:rsid w:val="009A3CB1"/>
    <w:rsid w:val="009B06DA"/>
    <w:rsid w:val="009C0E5E"/>
    <w:rsid w:val="009D114D"/>
    <w:rsid w:val="009D1CB0"/>
    <w:rsid w:val="009D665C"/>
    <w:rsid w:val="009D68E3"/>
    <w:rsid w:val="009E202C"/>
    <w:rsid w:val="009F4FC9"/>
    <w:rsid w:val="00A03D65"/>
    <w:rsid w:val="00A08ABD"/>
    <w:rsid w:val="00A1749D"/>
    <w:rsid w:val="00A2230B"/>
    <w:rsid w:val="00A35FF6"/>
    <w:rsid w:val="00A40181"/>
    <w:rsid w:val="00A6371B"/>
    <w:rsid w:val="00A65545"/>
    <w:rsid w:val="00A676AE"/>
    <w:rsid w:val="00A76E56"/>
    <w:rsid w:val="00A93AB4"/>
    <w:rsid w:val="00AA6D51"/>
    <w:rsid w:val="00AA7CDC"/>
    <w:rsid w:val="00AD5248"/>
    <w:rsid w:val="00AE6B4B"/>
    <w:rsid w:val="00AF0719"/>
    <w:rsid w:val="00B20841"/>
    <w:rsid w:val="00B329CF"/>
    <w:rsid w:val="00B36A78"/>
    <w:rsid w:val="00B44948"/>
    <w:rsid w:val="00B562D0"/>
    <w:rsid w:val="00B67617"/>
    <w:rsid w:val="00B67C35"/>
    <w:rsid w:val="00B950C8"/>
    <w:rsid w:val="00BB693A"/>
    <w:rsid w:val="00BD1E3F"/>
    <w:rsid w:val="00BF276C"/>
    <w:rsid w:val="00BF4DB7"/>
    <w:rsid w:val="00C05140"/>
    <w:rsid w:val="00C16A8B"/>
    <w:rsid w:val="00C3269F"/>
    <w:rsid w:val="00C513E6"/>
    <w:rsid w:val="00C65F8F"/>
    <w:rsid w:val="00C7450C"/>
    <w:rsid w:val="00C74D5A"/>
    <w:rsid w:val="00C76F31"/>
    <w:rsid w:val="00C90141"/>
    <w:rsid w:val="00C95A3B"/>
    <w:rsid w:val="00CB497B"/>
    <w:rsid w:val="00CF5757"/>
    <w:rsid w:val="00D04BF4"/>
    <w:rsid w:val="00D10A9D"/>
    <w:rsid w:val="00D25A7B"/>
    <w:rsid w:val="00D412F9"/>
    <w:rsid w:val="00D5069B"/>
    <w:rsid w:val="00D63AFD"/>
    <w:rsid w:val="00DC1D50"/>
    <w:rsid w:val="00DC21C2"/>
    <w:rsid w:val="00DC4F67"/>
    <w:rsid w:val="00DD3072"/>
    <w:rsid w:val="00DF5108"/>
    <w:rsid w:val="00E157B6"/>
    <w:rsid w:val="00E21FF1"/>
    <w:rsid w:val="00E22169"/>
    <w:rsid w:val="00E231EF"/>
    <w:rsid w:val="00E40BA1"/>
    <w:rsid w:val="00E44203"/>
    <w:rsid w:val="00E52CD5"/>
    <w:rsid w:val="00E57A0C"/>
    <w:rsid w:val="00E674E4"/>
    <w:rsid w:val="00E77D45"/>
    <w:rsid w:val="00E849F4"/>
    <w:rsid w:val="00EC1322"/>
    <w:rsid w:val="00F00C2F"/>
    <w:rsid w:val="00F052FE"/>
    <w:rsid w:val="00F06A44"/>
    <w:rsid w:val="00F077BA"/>
    <w:rsid w:val="00F11180"/>
    <w:rsid w:val="00F12E61"/>
    <w:rsid w:val="00F14748"/>
    <w:rsid w:val="00F24BBB"/>
    <w:rsid w:val="00F32CA3"/>
    <w:rsid w:val="00F34D27"/>
    <w:rsid w:val="00F4248E"/>
    <w:rsid w:val="00F42A9E"/>
    <w:rsid w:val="00F53907"/>
    <w:rsid w:val="00F564EB"/>
    <w:rsid w:val="00F6753E"/>
    <w:rsid w:val="00F70ECE"/>
    <w:rsid w:val="00F71EEF"/>
    <w:rsid w:val="00F7590D"/>
    <w:rsid w:val="00F762A7"/>
    <w:rsid w:val="00F955C8"/>
    <w:rsid w:val="00F974D7"/>
    <w:rsid w:val="00FA3DBB"/>
    <w:rsid w:val="00FA6F64"/>
    <w:rsid w:val="00FB6AB3"/>
    <w:rsid w:val="00FE386E"/>
    <w:rsid w:val="00FF7A48"/>
    <w:rsid w:val="03AEBEB5"/>
    <w:rsid w:val="040FAB46"/>
    <w:rsid w:val="048AAABA"/>
    <w:rsid w:val="06447ABE"/>
    <w:rsid w:val="066A5646"/>
    <w:rsid w:val="08FDF512"/>
    <w:rsid w:val="0AC75C71"/>
    <w:rsid w:val="0C8C9D40"/>
    <w:rsid w:val="0E9B957D"/>
    <w:rsid w:val="0FC9F6B3"/>
    <w:rsid w:val="11BA35D7"/>
    <w:rsid w:val="12A51E28"/>
    <w:rsid w:val="140541A9"/>
    <w:rsid w:val="148FE315"/>
    <w:rsid w:val="14E1F2AE"/>
    <w:rsid w:val="16138CC2"/>
    <w:rsid w:val="165B0DE3"/>
    <w:rsid w:val="17BA9806"/>
    <w:rsid w:val="182CC910"/>
    <w:rsid w:val="197E0E06"/>
    <w:rsid w:val="1CD8B513"/>
    <w:rsid w:val="1D66CD9C"/>
    <w:rsid w:val="1DD66268"/>
    <w:rsid w:val="1E2B8830"/>
    <w:rsid w:val="1F1B33CC"/>
    <w:rsid w:val="223FC485"/>
    <w:rsid w:val="224343E9"/>
    <w:rsid w:val="233F8492"/>
    <w:rsid w:val="23D9C14F"/>
    <w:rsid w:val="25A4DD2E"/>
    <w:rsid w:val="26096772"/>
    <w:rsid w:val="265BCB7F"/>
    <w:rsid w:val="2671EE0D"/>
    <w:rsid w:val="26EA9D78"/>
    <w:rsid w:val="278026A8"/>
    <w:rsid w:val="27B34E6D"/>
    <w:rsid w:val="295B80FD"/>
    <w:rsid w:val="2A86DE6C"/>
    <w:rsid w:val="2A8F61FE"/>
    <w:rsid w:val="2AF7EC3E"/>
    <w:rsid w:val="33E4B49E"/>
    <w:rsid w:val="34511192"/>
    <w:rsid w:val="359A704E"/>
    <w:rsid w:val="35A625CB"/>
    <w:rsid w:val="36C88B4B"/>
    <w:rsid w:val="36DF158C"/>
    <w:rsid w:val="36F6417B"/>
    <w:rsid w:val="37CF46B6"/>
    <w:rsid w:val="39724E9A"/>
    <w:rsid w:val="3B96F5E0"/>
    <w:rsid w:val="3BCC94CB"/>
    <w:rsid w:val="3CCF4B54"/>
    <w:rsid w:val="3EFE764C"/>
    <w:rsid w:val="3F9A7E8A"/>
    <w:rsid w:val="41BF32C6"/>
    <w:rsid w:val="4225A8F0"/>
    <w:rsid w:val="436C90B3"/>
    <w:rsid w:val="44F8B5C9"/>
    <w:rsid w:val="4535F54A"/>
    <w:rsid w:val="48A96D5C"/>
    <w:rsid w:val="48BFEC66"/>
    <w:rsid w:val="4E077F80"/>
    <w:rsid w:val="507122A5"/>
    <w:rsid w:val="50C86CA5"/>
    <w:rsid w:val="51227E7C"/>
    <w:rsid w:val="569AAA29"/>
    <w:rsid w:val="584E12FE"/>
    <w:rsid w:val="58A4FB49"/>
    <w:rsid w:val="596FDE74"/>
    <w:rsid w:val="59FB1CE8"/>
    <w:rsid w:val="5A31456B"/>
    <w:rsid w:val="5B38F23D"/>
    <w:rsid w:val="5BCD4AAC"/>
    <w:rsid w:val="5CAB81D7"/>
    <w:rsid w:val="5CFF3950"/>
    <w:rsid w:val="5D064EB0"/>
    <w:rsid w:val="5E0FC888"/>
    <w:rsid w:val="61D1FBF5"/>
    <w:rsid w:val="61D89DA3"/>
    <w:rsid w:val="62661A21"/>
    <w:rsid w:val="62A00386"/>
    <w:rsid w:val="630ACCE6"/>
    <w:rsid w:val="69716773"/>
    <w:rsid w:val="6D1745AD"/>
    <w:rsid w:val="6E2812FA"/>
    <w:rsid w:val="6E9B3282"/>
    <w:rsid w:val="6F7C38FE"/>
    <w:rsid w:val="7413D7C2"/>
    <w:rsid w:val="74C9E879"/>
    <w:rsid w:val="7520A498"/>
    <w:rsid w:val="759B22A7"/>
    <w:rsid w:val="772DF7D1"/>
    <w:rsid w:val="776DAF49"/>
    <w:rsid w:val="798B8401"/>
    <w:rsid w:val="7A98E5A0"/>
    <w:rsid w:val="7AAC4C86"/>
    <w:rsid w:val="7BE41119"/>
    <w:rsid w:val="7C6CF989"/>
    <w:rsid w:val="7CD16AA1"/>
    <w:rsid w:val="7F21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1AF7"/>
  <w15:docId w15:val="{504CAB02-7918-4DDA-B56F-0C6BC722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0"/>
      <w:outlineLvl w:val="0"/>
    </w:pPr>
    <w:rPr>
      <w:rFonts w:ascii="Calibri Light" w:eastAsia="Yu Gothic Light" w:hAnsi="Calibri Light" w:cs="Times New Roman"/>
      <w:color w:val="2F5496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basedOn w:val="Standardnpsmoodstavce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Revize">
    <w:name w:val="Revision"/>
    <w:pPr>
      <w:suppressAutoHyphens/>
      <w:spacing w:after="0" w:line="240" w:lineRule="auto"/>
    </w:p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paragraph" w:styleId="Odstavecseseznamem">
    <w:name w:val="List Paragraph"/>
    <w:basedOn w:val="Normln"/>
    <w:pPr>
      <w:ind w:left="720"/>
    </w:pPr>
  </w:style>
  <w:style w:type="character" w:styleId="Sledovanodkaz">
    <w:name w:val="FollowedHyperlink"/>
    <w:basedOn w:val="Standardnpsmoodstavc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cela.stefcova@crestcom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oxone.com/cscz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oxone.com/cscz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5C2B8-8EE0-4881-BBAC-C16A59A6166B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2.xml><?xml version="1.0" encoding="utf-8"?>
<ds:datastoreItem xmlns:ds="http://schemas.openxmlformats.org/officeDocument/2006/customXml" ds:itemID="{0BE971FD-FC6F-46B3-B384-AB23B52ED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EDD58C-B3CF-487E-A9D4-36E78EBC8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819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Zbuzková</dc:creator>
  <dc:description/>
  <cp:lastModifiedBy>Vendula Pavlíčková | CrestCommunications a.s.</cp:lastModifiedBy>
  <cp:revision>246</cp:revision>
  <dcterms:created xsi:type="dcterms:W3CDTF">2026-03-27T11:35:00Z</dcterms:created>
  <dcterms:modified xsi:type="dcterms:W3CDTF">2026-06-15T07:38:00Z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